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9077cab97e485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9a976193a34143e9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Beacon Hill,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77df0a1f08e4452" /><Relationship Type="http://schemas.openxmlformats.org/officeDocument/2006/relationships/numbering" Target="/word/numbering.xml" Id="Rf45f07f5a016489e" /><Relationship Type="http://schemas.openxmlformats.org/officeDocument/2006/relationships/settings" Target="/word/settings.xml" Id="R0cfd6a82f1964b8b" /><Relationship Type="http://schemas.openxmlformats.org/officeDocument/2006/relationships/image" Target="/word/media/4ae4ea21-d04b-4697-a1b1-5c89a84f59f3.png" Id="R9a976193a34143e9" /></Relationships>
</file>