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d9d8a89a44d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acce37f5794d7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Cropwell Bishop,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b2ecf86f949c8" /><Relationship Type="http://schemas.openxmlformats.org/officeDocument/2006/relationships/numbering" Target="/word/numbering.xml" Id="Rde640c9f1cae4bdc" /><Relationship Type="http://schemas.openxmlformats.org/officeDocument/2006/relationships/settings" Target="/word/settings.xml" Id="Rce93679db4c5406e" /><Relationship Type="http://schemas.openxmlformats.org/officeDocument/2006/relationships/image" Target="/word/media/65758ac1-f752-4490-92ae-1955be352c01.png" Id="R8aacce37f5794d7e" /></Relationships>
</file>